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646" w:right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叙古高速收费标准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-414" w:leftChars="0" w:right="-512" w:rightChars="-244" w:firstLine="633" w:firstLineChars="198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叙古高速公路叙永震东至太平段一类车基价标准按0.50元/车</w:t>
      </w:r>
      <w:r>
        <w:rPr>
          <w:rFonts w:hint="eastAsia" w:ascii="仿宋_GB2312" w:eastAsia="仿宋_GB2312" w:cs="仿宋_GB2312"/>
          <w:b/>
          <w:bCs/>
          <w:color w:val="000000"/>
          <w:kern w:val="0"/>
          <w:sz w:val="15"/>
          <w:szCs w:val="15"/>
          <w:lang w:val="en-US" w:eastAsia="zh-CN" w:bidi="ar"/>
        </w:rPr>
        <w:t xml:space="preserve">●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公里执行；通过特大隧道的车辆按一类车基价适当加收车辆通行费，具体为：汪家岩隧道（4001米）5元/车</w:t>
      </w:r>
      <w:r>
        <w:rPr>
          <w:rFonts w:hint="eastAsia" w:ascii="仿宋_GB2312" w:eastAsia="仿宋_GB2312" w:cs="仿宋_GB2312"/>
          <w:b/>
          <w:bCs/>
          <w:color w:val="000000"/>
          <w:kern w:val="0"/>
          <w:sz w:val="15"/>
          <w:szCs w:val="15"/>
          <w:lang w:val="en-US" w:eastAsia="zh-CN" w:bidi="ar"/>
        </w:rPr>
        <w:t xml:space="preserve">●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次、德耀隧道（1163米）3元/车</w:t>
      </w:r>
      <w:r>
        <w:rPr>
          <w:rFonts w:hint="eastAsia" w:ascii="仿宋_GB2312" w:eastAsia="仿宋_GB2312" w:cs="仿宋_GB2312"/>
          <w:b/>
          <w:bCs/>
          <w:color w:val="000000"/>
          <w:kern w:val="0"/>
          <w:sz w:val="15"/>
          <w:szCs w:val="15"/>
          <w:lang w:val="en-US" w:eastAsia="zh-CN" w:bidi="ar"/>
        </w:rPr>
        <w:t xml:space="preserve">●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次。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货车按照交通运输厅、省物价局《关于联网高速公路实施货车计重收费的批复》（川交发﹝2007﹞14号），以及交通运输厅、省发展改革委、财政厅《关于对正常装载合法运输车辆通行费实行优惠的通知》（川交发﹝2014﹞1号）和《关于对正常装载合法运输车辆通行费实行优惠的补充通知》（川交函﹝2014﹞54号）要求和计重收费标准实施计重收费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（一）车型分类与收费价格折算系数：</w:t>
      </w:r>
    </w:p>
    <w:tbl>
      <w:tblPr>
        <w:tblStyle w:val="4"/>
        <w:tblW w:w="9252" w:type="dxa"/>
        <w:jc w:val="center"/>
        <w:tblInd w:w="-5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5850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车型分类</w:t>
            </w:r>
          </w:p>
        </w:tc>
        <w:tc>
          <w:tcPr>
            <w:tcW w:w="5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车型分类标准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收费价格折算系数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一类车</w:t>
            </w:r>
          </w:p>
        </w:tc>
        <w:tc>
          <w:tcPr>
            <w:tcW w:w="5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7座（含7座）以下轿车、小型客车；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2吨（含2吨）以下小货车。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二类车</w:t>
            </w:r>
          </w:p>
        </w:tc>
        <w:tc>
          <w:tcPr>
            <w:tcW w:w="5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8座至19座客车；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2吨以上至5吨（含5吨）货车。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三类车</w:t>
            </w:r>
          </w:p>
        </w:tc>
        <w:tc>
          <w:tcPr>
            <w:tcW w:w="5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20座至39座客车；5吨以上至10吨（含10吨）货车，20英尺集装箱车。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四类车</w:t>
            </w:r>
          </w:p>
        </w:tc>
        <w:tc>
          <w:tcPr>
            <w:tcW w:w="5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40座（含40座）以上客车；10吨以上至15吨（含15吨）货车；40英尺集装箱车。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五类车</w:t>
            </w:r>
          </w:p>
        </w:tc>
        <w:tc>
          <w:tcPr>
            <w:tcW w:w="5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15吨以上货车。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-420" w:leftChars="-200" w:right="-512" w:rightChars="-244" w:firstLine="419" w:firstLineChars="131"/>
        <w:jc w:val="left"/>
        <w:textAlignment w:val="auto"/>
        <w:outlineLvl w:val="9"/>
      </w:pP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（二）当单车拖曳另一辆挂车时，该组合车辆的车型按照高于主车一个类别的车型分类标准收费。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-420" w:leftChars="-200" w:right="-512" w:rightChars="-244" w:firstLine="409" w:firstLineChars="128"/>
        <w:jc w:val="left"/>
        <w:textAlignment w:val="auto"/>
        <w:outlineLvl w:val="9"/>
      </w:pP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（三）牵引车单机头行驶收费公路时，按分类划分的第二类车型标准收费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-420" w:leftChars="-200" w:right="-512" w:rightChars="-244" w:firstLine="409" w:firstLineChars="128"/>
        <w:jc w:val="left"/>
        <w:textAlignment w:val="auto"/>
        <w:outlineLvl w:val="9"/>
      </w:pP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（四）行驶收费公路的不能载客也不能载货的吊车等特种车辆，按车辆核定总质量折半后所对应的车型分类标准收费。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-420" w:leftChars="-200" w:right="-512" w:rightChars="-244" w:firstLine="409" w:firstLineChars="128"/>
        <w:jc w:val="left"/>
        <w:textAlignment w:val="auto"/>
        <w:outlineLvl w:val="9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（五）大型物件运输车辆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经批准的大件运输车辆，且车辆及装载物品的有关情况与《超限运输车辆通行证》记载的内容一致的，根据《超限运输车辆行驶公路管理规定》（交通运输部令2016年第62号）规定，按计重收费基本费率计算收取车辆通行费。未经批准的大件运输车辆或车辆及装载物品的有关情况与《超限运输车辆通行证》记载的内容不一致的，按《道路大型物件运输管理办法》的有关规定执行，重量在20吨以上（含20吨）的单体货物或不可解体的成组（捆）货物，其车辆通行费按：车辆划分类别及通行费+（超过20吨的实际吨位数乘以一类车收费标准）=总收费额收取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-420" w:leftChars="-200" w:right="-512" w:rightChars="-244" w:firstLine="409" w:firstLineChars="128"/>
        <w:jc w:val="left"/>
        <w:textAlignment w:val="auto"/>
        <w:outlineLvl w:val="9"/>
      </w:pP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（六）装运2只20英尺或40英尺标准集装箱的运输车辆，其车辆分别上靠一个类别收费。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-420" w:leftChars="-200" w:right="-512" w:rightChars="-244" w:firstLine="409" w:firstLineChars="128"/>
        <w:jc w:val="left"/>
        <w:textAlignment w:val="auto"/>
        <w:outlineLvl w:val="9"/>
      </w:pP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（七）以上车辆不分空、重车，以行驶证核定吨（座）位为准。货车按计重收费规定执行。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-420" w:leftChars="-200" w:right="-512" w:rightChars="-244" w:firstLine="409" w:firstLineChars="128"/>
        <w:jc w:val="left"/>
        <w:textAlignment w:val="auto"/>
        <w:outlineLvl w:val="9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（八）20—30座客车降低一个类别收取车辆通行费，即由三类车型临时降为二类车型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right="0" w:firstLine="1920" w:firstLineChars="60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right="0" w:firstLine="1920" w:firstLineChars="60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叙古高速公路收费里程表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right="0" w:firstLine="5600" w:firstLineChars="200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单位：公里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tbl>
      <w:tblPr>
        <w:tblStyle w:val="4"/>
        <w:tblpPr w:leftFromText="180" w:rightFromText="180" w:vertAnchor="page" w:horzAnchor="page" w:tblpX="2287" w:tblpY="3419"/>
        <w:tblW w:w="78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0"/>
        <w:gridCol w:w="1830"/>
        <w:gridCol w:w="1890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325" w:type="dxa"/>
          <w:trHeight w:val="809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灯盏坪枢纽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95" w:type="dxa"/>
          <w:trHeight w:val="899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25.00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古蔺西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05" w:type="dxa"/>
          <w:trHeight w:val="779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36.10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11.10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古蔺东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55.35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30.35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19.25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太平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叙古高速公路车辆通行费收费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 xml:space="preserve">标准表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0" w:firstLineChars="200"/>
        <w:jc w:val="center"/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</w:t>
      </w:r>
      <w:r>
        <w:rPr>
          <w:rFonts w:hint="eastAsia" w:asci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单位：元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tbl>
      <w:tblPr>
        <w:tblStyle w:val="4"/>
        <w:tblpPr w:leftFromText="180" w:rightFromText="180" w:vertAnchor="text" w:horzAnchor="page" w:tblpX="1717" w:tblpY="435"/>
        <w:tblOverlap w:val="never"/>
        <w:tblW w:w="8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995"/>
        <w:gridCol w:w="1905"/>
        <w:gridCol w:w="1800"/>
        <w:gridCol w:w="1385"/>
        <w:gridCol w:w="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灯盏坪枢纽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52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71</w:t>
            </w:r>
          </w:p>
        </w:tc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古蔺西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30</w:t>
            </w:r>
          </w:p>
        </w:tc>
        <w:tc>
          <w:tcPr>
            <w:tcW w:w="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古蔺东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19</w:t>
            </w:r>
          </w:p>
        </w:tc>
        <w:tc>
          <w:tcPr>
            <w:tcW w:w="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36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太平</w:t>
            </w:r>
          </w:p>
        </w:tc>
        <w:tc>
          <w:tcPr>
            <w:tcW w:w="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right="0"/>
        <w:jc w:val="both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</w:p>
    <w:tbl>
      <w:tblPr>
        <w:tblStyle w:val="4"/>
        <w:tblpPr w:leftFromText="180" w:rightFromText="180" w:vertAnchor="text" w:horzAnchor="page" w:tblpX="1762" w:tblpY="254"/>
        <w:tblW w:w="85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987"/>
        <w:gridCol w:w="1365"/>
        <w:gridCol w:w="1500"/>
        <w:gridCol w:w="1905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车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灯盏坪枢纽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82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104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143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62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古蔺西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61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78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17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古蔺东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39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107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46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29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太平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center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            </w:t>
      </w:r>
    </w:p>
    <w:tbl>
      <w:tblPr>
        <w:tblStyle w:val="4"/>
        <w:tblpPr w:leftFromText="180" w:rightFromText="180" w:vertAnchor="page" w:horzAnchor="page" w:tblpX="1822" w:tblpY="10928"/>
        <w:tblW w:w="7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975"/>
        <w:gridCol w:w="1905"/>
        <w:gridCol w:w="1410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425" w:type="dxa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车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灯盏坪枢纽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20" w:type="dxa"/>
          <w:trHeight w:val="859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103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古蔺西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10" w:type="dxa"/>
          <w:trHeight w:val="86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130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28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古蔺东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178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76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48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太平</w:t>
            </w: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</w:pPr>
      <w:r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br w:type="textWrapping"/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br w:type="textWrapping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B226B"/>
    <w:rsid w:val="5F6D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全倾全力1381677677</cp:lastModifiedBy>
  <dcterms:modified xsi:type="dcterms:W3CDTF">2018-06-14T08:24:31Z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