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keepNext/>
        <w:keepLines/>
        <w:pageBreakBefore w:val="0"/>
        <w:widowControl w:val="0"/>
        <w:shd w:val="clear" w:color="auto" w:fill="auto"/>
        <w:kinsoku/>
        <w:wordWrap/>
        <w:overflowPunct/>
        <w:topLinePunct w:val="0"/>
        <w:autoSpaceDE/>
        <w:autoSpaceDN/>
        <w:bidi w:val="0"/>
        <w:adjustRightInd/>
        <w:snapToGrid/>
        <w:spacing w:before="0" w:after="0" w:line="640" w:lineRule="exact"/>
        <w:ind w:left="0" w:right="0" w:firstLine="0"/>
        <w:jc w:val="left"/>
        <w:textAlignment w:val="auto"/>
        <w:rPr>
          <w:rFonts w:hint="eastAsia" w:ascii="黑体" w:hAnsi="黑体" w:eastAsia="黑体" w:cs="黑体"/>
          <w:spacing w:val="0"/>
          <w:w w:val="100"/>
          <w:position w:val="0"/>
          <w:sz w:val="32"/>
          <w:szCs w:val="32"/>
          <w:lang w:val="en-US" w:eastAsia="zh-CN"/>
        </w:rPr>
      </w:pPr>
      <w:bookmarkStart w:id="0" w:name="bookmark6"/>
      <w:bookmarkStart w:id="1" w:name="bookmark8"/>
      <w:bookmarkStart w:id="2" w:name="bookmark7"/>
      <w:r>
        <w:rPr>
          <w:rFonts w:hint="eastAsia" w:ascii="黑体" w:hAnsi="黑体" w:eastAsia="黑体" w:cs="黑体"/>
          <w:spacing w:val="0"/>
          <w:w w:val="100"/>
          <w:position w:val="0"/>
          <w:sz w:val="32"/>
          <w:szCs w:val="32"/>
          <w:lang w:val="en-US" w:eastAsia="zh-CN"/>
        </w:rPr>
        <w:t>附件</w:t>
      </w:r>
    </w:p>
    <w:p>
      <w:pPr>
        <w:pStyle w:val="6"/>
        <w:keepNext/>
        <w:keepLines/>
        <w:pageBreakBefore w:val="0"/>
        <w:widowControl w:val="0"/>
        <w:shd w:val="clear" w:color="auto" w:fill="auto"/>
        <w:kinsoku/>
        <w:wordWrap/>
        <w:overflowPunct/>
        <w:topLinePunct w:val="0"/>
        <w:autoSpaceDE/>
        <w:autoSpaceDN/>
        <w:bidi w:val="0"/>
        <w:adjustRightInd/>
        <w:snapToGrid/>
        <w:spacing w:before="0" w:after="0" w:line="640" w:lineRule="exact"/>
        <w:ind w:left="0" w:right="0" w:firstLine="0"/>
        <w:jc w:val="center"/>
        <w:textAlignment w:val="auto"/>
      </w:pPr>
      <w:bookmarkStart w:id="3" w:name="_GoBack"/>
      <w:r>
        <w:rPr>
          <w:rFonts w:hint="eastAsia" w:ascii="方正小标宋简体" w:hAnsi="方正小标宋简体" w:eastAsia="方正小标宋简体" w:cs="方正小标宋简体"/>
          <w:spacing w:val="0"/>
          <w:w w:val="100"/>
          <w:position w:val="0"/>
          <w:sz w:val="44"/>
          <w:szCs w:val="44"/>
        </w:rPr>
        <w:t>第</w:t>
      </w:r>
      <w:r>
        <w:rPr>
          <w:rFonts w:hint="eastAsia" w:ascii="方正小标宋简体" w:hAnsi="方正小标宋简体" w:eastAsia="方正小标宋简体" w:cs="方正小标宋简体"/>
          <w:spacing w:val="0"/>
          <w:w w:val="100"/>
          <w:position w:val="0"/>
          <w:sz w:val="44"/>
          <w:szCs w:val="44"/>
          <w:lang w:eastAsia="zh-CN"/>
        </w:rPr>
        <w:t>三</w:t>
      </w:r>
      <w:r>
        <w:rPr>
          <w:rFonts w:hint="eastAsia" w:ascii="方正小标宋简体" w:hAnsi="方正小标宋简体" w:eastAsia="方正小标宋简体" w:cs="方正小标宋简体"/>
          <w:spacing w:val="0"/>
          <w:w w:val="100"/>
          <w:position w:val="0"/>
          <w:sz w:val="44"/>
          <w:szCs w:val="44"/>
        </w:rPr>
        <w:t>轮省级生态环境保护督察第</w:t>
      </w:r>
      <w:r>
        <w:rPr>
          <w:rFonts w:hint="eastAsia" w:ascii="方正小标宋简体" w:hAnsi="方正小标宋简体" w:eastAsia="方正小标宋简体" w:cs="方正小标宋简体"/>
          <w:spacing w:val="0"/>
          <w:w w:val="100"/>
          <w:position w:val="0"/>
          <w:sz w:val="44"/>
          <w:szCs w:val="44"/>
          <w:lang w:eastAsia="zh-CN"/>
        </w:rPr>
        <w:t>四十三</w:t>
      </w:r>
      <w:r>
        <w:rPr>
          <w:rFonts w:hint="eastAsia" w:ascii="方正小标宋简体" w:hAnsi="方正小标宋简体" w:eastAsia="方正小标宋简体" w:cs="方正小标宋简体"/>
          <w:spacing w:val="0"/>
          <w:w w:val="100"/>
          <w:position w:val="0"/>
          <w:sz w:val="44"/>
          <w:szCs w:val="44"/>
        </w:rPr>
        <w:t>项</w:t>
      </w:r>
      <w:r>
        <w:rPr>
          <w:rFonts w:hint="eastAsia" w:ascii="方正小标宋简体" w:hAnsi="方正小标宋简体" w:eastAsia="方正小标宋简体" w:cs="方正小标宋简体"/>
          <w:spacing w:val="0"/>
          <w:w w:val="100"/>
          <w:position w:val="0"/>
          <w:sz w:val="44"/>
          <w:szCs w:val="44"/>
        </w:rPr>
        <w:br w:type="textWrapping"/>
      </w:r>
      <w:r>
        <w:rPr>
          <w:rFonts w:hint="eastAsia" w:ascii="方正小标宋简体" w:hAnsi="方正小标宋简体" w:eastAsia="方正小标宋简体" w:cs="方正小标宋简体"/>
          <w:spacing w:val="0"/>
          <w:w w:val="100"/>
          <w:position w:val="0"/>
          <w:sz w:val="44"/>
          <w:szCs w:val="44"/>
        </w:rPr>
        <w:t>整改任务完成情况表</w:t>
      </w:r>
      <w:bookmarkEnd w:id="0"/>
      <w:bookmarkEnd w:id="1"/>
      <w:bookmarkEnd w:id="2"/>
    </w:p>
    <w:bookmarkEnd w:id="3"/>
    <w:tbl>
      <w:tblPr>
        <w:tblStyle w:val="4"/>
        <w:tblW w:w="0" w:type="auto"/>
        <w:jc w:val="center"/>
        <w:tblLayout w:type="fixed"/>
        <w:tblCellMar>
          <w:top w:w="0" w:type="dxa"/>
          <w:left w:w="10" w:type="dxa"/>
          <w:bottom w:w="0" w:type="dxa"/>
          <w:right w:w="10" w:type="dxa"/>
        </w:tblCellMar>
      </w:tblPr>
      <w:tblGrid>
        <w:gridCol w:w="2606"/>
        <w:gridCol w:w="5856"/>
      </w:tblGrid>
      <w:tr>
        <w:tblPrEx>
          <w:tblCellMar>
            <w:top w:w="0" w:type="dxa"/>
            <w:left w:w="10" w:type="dxa"/>
            <w:bottom w:w="0" w:type="dxa"/>
            <w:right w:w="10" w:type="dxa"/>
          </w:tblCellMar>
        </w:tblPrEx>
        <w:trPr>
          <w:trHeight w:val="1810" w:hRule="exact"/>
          <w:jc w:val="center"/>
        </w:trPr>
        <w:tc>
          <w:tcPr>
            <w:tcBorders>
              <w:top w:val="single" w:color="auto" w:sz="4" w:space="0"/>
              <w:left w:val="single" w:color="auto" w:sz="4" w:space="0"/>
            </w:tcBorders>
            <w:shd w:val="clear" w:color="auto" w:fill="FFFFFF"/>
            <w:vAlign w:val="center"/>
          </w:tcPr>
          <w:p>
            <w:pPr>
              <w:pStyle w:val="8"/>
              <w:keepNext w:val="0"/>
              <w:keepLines w:val="0"/>
              <w:widowControl w:val="0"/>
              <w:shd w:val="clear" w:color="auto" w:fill="auto"/>
              <w:bidi w:val="0"/>
              <w:spacing w:before="0" w:after="0" w:line="240" w:lineRule="auto"/>
              <w:ind w:left="0" w:right="0" w:firstLine="0"/>
              <w:jc w:val="center"/>
              <w:rPr>
                <w:rFonts w:hint="default" w:ascii="Times New Roman" w:hAnsi="Times New Roman" w:eastAsia="仿宋_GB2312" w:cs="Times New Roman"/>
                <w:sz w:val="32"/>
                <w:szCs w:val="32"/>
              </w:rPr>
            </w:pPr>
            <w:r>
              <w:rPr>
                <w:rFonts w:hint="default" w:ascii="Times New Roman" w:hAnsi="Times New Roman" w:eastAsia="仿宋_GB2312" w:cs="Times New Roman"/>
                <w:color w:val="333A38"/>
                <w:spacing w:val="0"/>
                <w:w w:val="100"/>
                <w:position w:val="0"/>
                <w:sz w:val="32"/>
                <w:szCs w:val="32"/>
              </w:rPr>
              <w:t>整改任务</w:t>
            </w:r>
          </w:p>
        </w:tc>
        <w:tc>
          <w:tcPr>
            <w:tcBorders>
              <w:top w:val="single" w:color="auto" w:sz="4" w:space="0"/>
              <w:left w:val="single" w:color="auto" w:sz="4" w:space="0"/>
              <w:right w:val="single" w:color="auto" w:sz="4" w:space="0"/>
            </w:tcBorders>
            <w:shd w:val="clear" w:color="auto" w:fill="FFFFFF"/>
            <w:vAlign w:val="top"/>
          </w:tcPr>
          <w:p>
            <w:pPr>
              <w:widowControl w:val="0"/>
              <w:rPr>
                <w:rFonts w:hint="default" w:ascii="Times New Roman" w:hAnsi="Times New Roman" w:eastAsia="仿宋_GB2312" w:cs="Times New Roman"/>
                <w:color w:val="1B1B1C"/>
                <w:spacing w:val="0"/>
                <w:w w:val="100"/>
                <w:position w:val="0"/>
                <w:sz w:val="32"/>
                <w:szCs w:val="32"/>
                <w:u w:val="none"/>
                <w:shd w:val="clear" w:color="auto" w:fill="auto"/>
                <w:lang w:val="zh-TW" w:eastAsia="zh-CN" w:bidi="zh-TW"/>
              </w:rPr>
            </w:pPr>
          </w:p>
          <w:p>
            <w:pPr>
              <w:widowControl w:val="0"/>
              <w:rPr>
                <w:rFonts w:hint="default" w:ascii="Times New Roman" w:hAnsi="Times New Roman" w:eastAsia="仿宋_GB2312" w:cs="Times New Roman"/>
                <w:color w:val="1B1B1C"/>
                <w:spacing w:val="0"/>
                <w:w w:val="100"/>
                <w:position w:val="0"/>
                <w:sz w:val="32"/>
                <w:szCs w:val="32"/>
                <w:u w:val="none"/>
                <w:shd w:val="clear" w:color="auto" w:fill="auto"/>
                <w:lang w:val="zh-TW" w:eastAsia="zh-CN" w:bidi="zh-TW"/>
              </w:rPr>
            </w:pPr>
          </w:p>
          <w:p>
            <w:pPr>
              <w:widowControl w:val="0"/>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color w:val="1B1B1C"/>
                <w:spacing w:val="0"/>
                <w:w w:val="100"/>
                <w:position w:val="0"/>
                <w:sz w:val="32"/>
                <w:szCs w:val="32"/>
                <w:u w:val="none"/>
                <w:shd w:val="clear" w:color="auto" w:fill="auto"/>
                <w:lang w:val="zh-TW" w:eastAsia="zh-CN" w:bidi="zh-TW"/>
              </w:rPr>
              <w:t>叙古高速公司能耗底数不清</w:t>
            </w:r>
          </w:p>
        </w:tc>
      </w:tr>
      <w:tr>
        <w:tblPrEx>
          <w:tblCellMar>
            <w:top w:w="0" w:type="dxa"/>
            <w:left w:w="10" w:type="dxa"/>
            <w:bottom w:w="0" w:type="dxa"/>
            <w:right w:w="10" w:type="dxa"/>
          </w:tblCellMar>
        </w:tblPrEx>
        <w:trPr>
          <w:trHeight w:val="1402" w:hRule="exact"/>
          <w:jc w:val="center"/>
        </w:trPr>
        <w:tc>
          <w:tcPr>
            <w:tcBorders>
              <w:top w:val="single" w:color="auto" w:sz="4" w:space="0"/>
              <w:left w:val="single" w:color="auto" w:sz="4" w:space="0"/>
            </w:tcBorders>
            <w:shd w:val="clear" w:color="auto" w:fill="FFFFFF"/>
            <w:vAlign w:val="center"/>
          </w:tcPr>
          <w:p>
            <w:pPr>
              <w:pStyle w:val="8"/>
              <w:keepNext w:val="0"/>
              <w:keepLines w:val="0"/>
              <w:widowControl w:val="0"/>
              <w:shd w:val="clear" w:color="auto" w:fill="auto"/>
              <w:bidi w:val="0"/>
              <w:spacing w:before="0" w:after="0" w:line="240" w:lineRule="auto"/>
              <w:ind w:left="0" w:right="0" w:firstLine="0"/>
              <w:jc w:val="center"/>
              <w:rPr>
                <w:rFonts w:hint="default" w:ascii="Times New Roman" w:hAnsi="Times New Roman" w:eastAsia="仿宋_GB2312" w:cs="Times New Roman"/>
                <w:sz w:val="32"/>
                <w:szCs w:val="32"/>
              </w:rPr>
            </w:pPr>
            <w:r>
              <w:rPr>
                <w:rFonts w:hint="default" w:ascii="Times New Roman" w:hAnsi="Times New Roman" w:eastAsia="仿宋_GB2312" w:cs="Times New Roman"/>
                <w:color w:val="333A38"/>
                <w:spacing w:val="0"/>
                <w:w w:val="100"/>
                <w:position w:val="0"/>
                <w:sz w:val="32"/>
                <w:szCs w:val="32"/>
              </w:rPr>
              <w:t>整改责任单位</w:t>
            </w:r>
          </w:p>
        </w:tc>
        <w:tc>
          <w:tcPr>
            <w:tcBorders>
              <w:top w:val="single" w:color="auto" w:sz="4" w:space="0"/>
              <w:left w:val="single" w:color="auto" w:sz="4" w:space="0"/>
              <w:right w:val="single" w:color="auto" w:sz="4" w:space="0"/>
            </w:tcBorders>
            <w:shd w:val="clear" w:color="auto" w:fill="FFFFFF"/>
            <w:vAlign w:val="top"/>
          </w:tcPr>
          <w:p>
            <w:pPr>
              <w:widowControl w:val="0"/>
              <w:rPr>
                <w:rFonts w:hint="default" w:ascii="Times New Roman" w:hAnsi="Times New Roman" w:eastAsia="仿宋_GB2312" w:cs="Times New Roman"/>
                <w:color w:val="1B1B1C"/>
                <w:spacing w:val="0"/>
                <w:w w:val="100"/>
                <w:position w:val="0"/>
                <w:sz w:val="32"/>
                <w:szCs w:val="32"/>
                <w:u w:val="none"/>
                <w:shd w:val="clear" w:color="auto" w:fill="auto"/>
                <w:lang w:val="zh-TW" w:eastAsia="zh-CN" w:bidi="zh-TW"/>
              </w:rPr>
            </w:pPr>
          </w:p>
          <w:p>
            <w:pPr>
              <w:widowControl w:val="0"/>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color w:val="1B1B1C"/>
                <w:spacing w:val="0"/>
                <w:w w:val="100"/>
                <w:position w:val="0"/>
                <w:sz w:val="32"/>
                <w:szCs w:val="32"/>
                <w:u w:val="none"/>
                <w:shd w:val="clear" w:color="auto" w:fill="auto"/>
                <w:lang w:val="zh-TW" w:eastAsia="zh-CN" w:bidi="zh-TW"/>
              </w:rPr>
              <w:t>四川叙古高速公路开发有限责任公司</w:t>
            </w:r>
          </w:p>
        </w:tc>
      </w:tr>
      <w:tr>
        <w:tblPrEx>
          <w:tblCellMar>
            <w:top w:w="0" w:type="dxa"/>
            <w:left w:w="10" w:type="dxa"/>
            <w:bottom w:w="0" w:type="dxa"/>
            <w:right w:w="10" w:type="dxa"/>
          </w:tblCellMar>
        </w:tblPrEx>
        <w:trPr>
          <w:trHeight w:val="998" w:hRule="exact"/>
          <w:jc w:val="center"/>
        </w:trPr>
        <w:tc>
          <w:tcPr>
            <w:tcBorders>
              <w:top w:val="single" w:color="auto" w:sz="4" w:space="0"/>
              <w:left w:val="single" w:color="auto" w:sz="4" w:space="0"/>
            </w:tcBorders>
            <w:shd w:val="clear" w:color="auto" w:fill="FFFFFF"/>
            <w:vAlign w:val="center"/>
          </w:tcPr>
          <w:p>
            <w:pPr>
              <w:pStyle w:val="8"/>
              <w:keepNext w:val="0"/>
              <w:keepLines w:val="0"/>
              <w:widowControl w:val="0"/>
              <w:shd w:val="clear" w:color="auto" w:fill="auto"/>
              <w:bidi w:val="0"/>
              <w:spacing w:before="0" w:after="0" w:line="240" w:lineRule="auto"/>
              <w:ind w:left="0" w:right="0" w:firstLine="0"/>
              <w:jc w:val="center"/>
              <w:rPr>
                <w:rFonts w:hint="default" w:ascii="Times New Roman" w:hAnsi="Times New Roman" w:eastAsia="仿宋_GB2312" w:cs="Times New Roman"/>
                <w:sz w:val="32"/>
                <w:szCs w:val="32"/>
              </w:rPr>
            </w:pPr>
            <w:r>
              <w:rPr>
                <w:rFonts w:hint="default" w:ascii="Times New Roman" w:hAnsi="Times New Roman" w:eastAsia="仿宋_GB2312" w:cs="Times New Roman"/>
                <w:color w:val="333A38"/>
                <w:spacing w:val="0"/>
                <w:w w:val="100"/>
                <w:position w:val="0"/>
                <w:sz w:val="32"/>
                <w:szCs w:val="32"/>
              </w:rPr>
              <w:t>整改目标</w:t>
            </w:r>
          </w:p>
        </w:tc>
        <w:tc>
          <w:tcPr>
            <w:tcBorders>
              <w:top w:val="single" w:color="auto" w:sz="4" w:space="0"/>
              <w:left w:val="single" w:color="auto" w:sz="4" w:space="0"/>
              <w:right w:val="single" w:color="auto" w:sz="4" w:space="0"/>
            </w:tcBorders>
            <w:shd w:val="clear" w:color="auto" w:fill="FFFFFF"/>
            <w:vAlign w:val="top"/>
          </w:tcPr>
          <w:p>
            <w:pPr>
              <w:widowControl w:val="0"/>
              <w:rPr>
                <w:rFonts w:hint="default" w:ascii="Times New Roman" w:hAnsi="Times New Roman" w:eastAsia="仿宋_GB2312" w:cs="Times New Roman"/>
                <w:color w:val="333A38"/>
                <w:spacing w:val="0"/>
                <w:w w:val="100"/>
                <w:position w:val="0"/>
                <w:sz w:val="32"/>
                <w:szCs w:val="32"/>
                <w:u w:val="none"/>
                <w:shd w:val="clear" w:color="auto" w:fill="auto"/>
                <w:lang w:val="zh-TW" w:eastAsia="zh-CN" w:bidi="zh-TW"/>
              </w:rPr>
            </w:pPr>
          </w:p>
          <w:p>
            <w:pPr>
              <w:widowControl w:val="0"/>
              <w:rPr>
                <w:rFonts w:hint="default" w:ascii="Times New Roman" w:hAnsi="Times New Roman" w:eastAsia="仿宋_GB2312" w:cs="Times New Roman"/>
                <w:sz w:val="32"/>
                <w:szCs w:val="32"/>
              </w:rPr>
            </w:pPr>
            <w:r>
              <w:rPr>
                <w:rFonts w:hint="default" w:ascii="Times New Roman" w:hAnsi="Times New Roman" w:eastAsia="仿宋_GB2312" w:cs="Times New Roman"/>
                <w:color w:val="333A38"/>
                <w:spacing w:val="0"/>
                <w:w w:val="100"/>
                <w:position w:val="0"/>
                <w:sz w:val="32"/>
                <w:szCs w:val="32"/>
                <w:u w:val="none"/>
                <w:shd w:val="clear" w:color="auto" w:fill="auto"/>
                <w:lang w:val="zh-TW" w:eastAsia="zh-CN" w:bidi="zh-TW"/>
              </w:rPr>
              <w:t>强化能耗底数，摸清能耗底数</w:t>
            </w:r>
          </w:p>
        </w:tc>
      </w:tr>
      <w:tr>
        <w:tblPrEx>
          <w:tblCellMar>
            <w:top w:w="0" w:type="dxa"/>
            <w:left w:w="10" w:type="dxa"/>
            <w:bottom w:w="0" w:type="dxa"/>
            <w:right w:w="10" w:type="dxa"/>
          </w:tblCellMar>
        </w:tblPrEx>
        <w:trPr>
          <w:trHeight w:val="1675" w:hRule="exact"/>
          <w:jc w:val="center"/>
        </w:trPr>
        <w:tc>
          <w:tcPr>
            <w:tcBorders>
              <w:top w:val="single" w:color="auto" w:sz="4" w:space="0"/>
              <w:left w:val="single" w:color="auto" w:sz="4" w:space="0"/>
            </w:tcBorders>
            <w:shd w:val="clear" w:color="auto" w:fill="FFFFFF"/>
            <w:vAlign w:val="center"/>
          </w:tcPr>
          <w:p>
            <w:pPr>
              <w:pStyle w:val="8"/>
              <w:keepNext w:val="0"/>
              <w:keepLines w:val="0"/>
              <w:widowControl w:val="0"/>
              <w:shd w:val="clear" w:color="auto" w:fill="auto"/>
              <w:bidi w:val="0"/>
              <w:spacing w:before="0" w:after="0" w:line="240" w:lineRule="auto"/>
              <w:ind w:left="0" w:right="0" w:firstLine="0"/>
              <w:jc w:val="center"/>
              <w:rPr>
                <w:rFonts w:hint="default" w:ascii="Times New Roman" w:hAnsi="Times New Roman" w:eastAsia="仿宋_GB2312" w:cs="Times New Roman"/>
                <w:sz w:val="32"/>
                <w:szCs w:val="32"/>
              </w:rPr>
            </w:pPr>
            <w:r>
              <w:rPr>
                <w:rFonts w:hint="default" w:ascii="Times New Roman" w:hAnsi="Times New Roman" w:eastAsia="仿宋_GB2312" w:cs="Times New Roman"/>
                <w:color w:val="333A38"/>
                <w:spacing w:val="0"/>
                <w:w w:val="100"/>
                <w:position w:val="0"/>
                <w:sz w:val="32"/>
                <w:szCs w:val="32"/>
              </w:rPr>
              <w:t>整改措施</w:t>
            </w:r>
          </w:p>
        </w:tc>
        <w:tc>
          <w:tcPr>
            <w:tcBorders>
              <w:top w:val="single" w:color="auto" w:sz="4" w:space="0"/>
              <w:left w:val="single" w:color="auto" w:sz="4" w:space="0"/>
              <w:right w:val="single" w:color="auto" w:sz="4" w:space="0"/>
            </w:tcBorders>
            <w:shd w:val="clear" w:color="auto" w:fill="FFFFFF"/>
            <w:vAlign w:val="top"/>
          </w:tcPr>
          <w:p>
            <w:pPr>
              <w:widowControl w:val="0"/>
              <w:rPr>
                <w:rFonts w:hint="default" w:ascii="Times New Roman" w:hAnsi="Times New Roman" w:eastAsia="仿宋_GB2312" w:cs="Times New Roman"/>
                <w:sz w:val="32"/>
                <w:szCs w:val="32"/>
              </w:rPr>
            </w:pPr>
            <w:r>
              <w:rPr>
                <w:rFonts w:hint="default" w:ascii="Times New Roman" w:hAnsi="Times New Roman" w:eastAsia="仿宋_GB2312" w:cs="Times New Roman"/>
                <w:color w:val="333A38"/>
                <w:spacing w:val="0"/>
                <w:w w:val="100"/>
                <w:position w:val="0"/>
                <w:sz w:val="32"/>
                <w:szCs w:val="32"/>
                <w:u w:val="none"/>
                <w:shd w:val="clear" w:color="auto" w:fill="auto"/>
                <w:lang w:val="en-US" w:eastAsia="zh-CN" w:bidi="zh-TW"/>
              </w:rPr>
              <w:t>2023年6月前，全面梳理2020年以来电耗情况，摸清能耗底数。选择1处隧道试点推广伴随式隧道照明智能调光技术，探索降耗增效新途径。</w:t>
            </w:r>
          </w:p>
        </w:tc>
      </w:tr>
      <w:tr>
        <w:tblPrEx>
          <w:tblCellMar>
            <w:top w:w="0" w:type="dxa"/>
            <w:left w:w="10" w:type="dxa"/>
            <w:bottom w:w="0" w:type="dxa"/>
            <w:right w:w="10" w:type="dxa"/>
          </w:tblCellMar>
        </w:tblPrEx>
        <w:trPr>
          <w:trHeight w:val="2918" w:hRule="exact"/>
          <w:jc w:val="center"/>
        </w:trPr>
        <w:tc>
          <w:tcPr>
            <w:tcBorders>
              <w:top w:val="single" w:color="auto" w:sz="4" w:space="0"/>
              <w:left w:val="single" w:color="auto" w:sz="4" w:space="0"/>
              <w:bottom w:val="single" w:color="auto" w:sz="4" w:space="0"/>
            </w:tcBorders>
            <w:shd w:val="clear" w:color="auto" w:fill="FFFFFF"/>
            <w:vAlign w:val="center"/>
          </w:tcPr>
          <w:p>
            <w:pPr>
              <w:pStyle w:val="8"/>
              <w:keepNext w:val="0"/>
              <w:keepLines w:val="0"/>
              <w:widowControl w:val="0"/>
              <w:shd w:val="clear" w:color="auto" w:fill="auto"/>
              <w:bidi w:val="0"/>
              <w:spacing w:before="0" w:after="0" w:line="490" w:lineRule="exact"/>
              <w:ind w:left="0" w:right="0" w:firstLine="0"/>
              <w:jc w:val="center"/>
              <w:rPr>
                <w:rFonts w:hint="default" w:ascii="Times New Roman" w:hAnsi="Times New Roman" w:eastAsia="仿宋_GB2312" w:cs="Times New Roman"/>
                <w:sz w:val="32"/>
                <w:szCs w:val="32"/>
              </w:rPr>
            </w:pPr>
            <w:r>
              <w:rPr>
                <w:rFonts w:hint="default" w:ascii="Times New Roman" w:hAnsi="Times New Roman" w:eastAsia="仿宋_GB2312" w:cs="Times New Roman"/>
                <w:color w:val="333A38"/>
                <w:spacing w:val="0"/>
                <w:w w:val="100"/>
                <w:position w:val="0"/>
                <w:sz w:val="32"/>
                <w:szCs w:val="32"/>
              </w:rPr>
              <w:t>整改主要工作及成效</w:t>
            </w:r>
          </w:p>
        </w:tc>
        <w:tc>
          <w:tcPr>
            <w:tcBorders>
              <w:top w:val="single" w:color="auto" w:sz="4" w:space="0"/>
              <w:left w:val="single" w:color="auto" w:sz="4" w:space="0"/>
              <w:bottom w:val="single" w:color="auto" w:sz="4" w:space="0"/>
              <w:right w:val="single" w:color="auto" w:sz="4" w:space="0"/>
            </w:tcBorders>
            <w:shd w:val="clear" w:color="auto" w:fill="FFFFFF"/>
            <w:vAlign w:val="top"/>
          </w:tcPr>
          <w:p>
            <w:pPr>
              <w:widowControl w:val="0"/>
              <w:rPr>
                <w:rFonts w:hint="default" w:ascii="Times New Roman" w:hAnsi="Times New Roman" w:eastAsia="仿宋_GB2312" w:cs="Times New Roman"/>
                <w:color w:val="333A38"/>
                <w:spacing w:val="0"/>
                <w:w w:val="100"/>
                <w:position w:val="0"/>
                <w:sz w:val="32"/>
                <w:szCs w:val="32"/>
                <w:u w:val="none"/>
                <w:shd w:val="clear" w:color="auto" w:fill="auto"/>
                <w:lang w:val="en-US" w:eastAsia="zh-CN" w:bidi="zh-TW"/>
              </w:rPr>
            </w:pPr>
            <w:r>
              <w:rPr>
                <w:rFonts w:hint="default" w:ascii="Times New Roman" w:hAnsi="Times New Roman" w:eastAsia="仿宋_GB2312" w:cs="Times New Roman"/>
                <w:color w:val="333A38"/>
                <w:spacing w:val="0"/>
                <w:w w:val="100"/>
                <w:position w:val="0"/>
                <w:sz w:val="32"/>
                <w:szCs w:val="32"/>
                <w:u w:val="none"/>
                <w:shd w:val="clear" w:color="auto" w:fill="auto"/>
                <w:lang w:val="en-US" w:eastAsia="zh-CN" w:bidi="zh-TW"/>
              </w:rPr>
              <w:t>1.2023年6月20日，已全面摸清2020年至2022年3年期间的电耗情况；</w:t>
            </w:r>
          </w:p>
          <w:p>
            <w:pPr>
              <w:widowControl w:val="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color w:val="333A38"/>
                <w:spacing w:val="0"/>
                <w:w w:val="100"/>
                <w:position w:val="0"/>
                <w:sz w:val="32"/>
                <w:szCs w:val="32"/>
                <w:u w:val="none"/>
                <w:shd w:val="clear" w:color="auto" w:fill="auto"/>
                <w:lang w:val="en-US" w:eastAsia="zh-CN" w:bidi="zh-TW"/>
              </w:rPr>
              <w:t>2.已选择在叙古高速汪家岩隧道叙古向试点增加伴随式隧道照明智能调光系统。</w:t>
            </w:r>
          </w:p>
        </w:tc>
      </w:tr>
    </w:tbl>
    <w:p>
      <w:pPr>
        <w:rPr>
          <w:spacing w:val="0"/>
          <w:w w:val="100"/>
          <w:position w:val="0"/>
        </w:rPr>
      </w:pPr>
    </w:p>
    <w:sectPr>
      <w:headerReference r:id="rId5" w:type="default"/>
      <w:footerReference r:id="rId6" w:type="default"/>
      <w:pgSz w:w="11907" w:h="16839"/>
      <w:pgMar w:top="2098" w:right="1474" w:bottom="1984" w:left="1587" w:header="850" w:footer="1417" w:gutter="0"/>
      <w:cols w:space="425" w:num="1"/>
      <w:docGrid w:type="linesAndChars" w:linePitch="579" w:charSpace="-834"/>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ZlOTJkYjAxNjBiZTk2MjFmNzNiMzU2NjY4MmNjYTAifQ=="/>
  </w:docVars>
  <w:rsids>
    <w:rsidRoot w:val="4162563F"/>
    <w:rsid w:val="290F5AD2"/>
    <w:rsid w:val="315A1DCC"/>
    <w:rsid w:val="39032E7D"/>
    <w:rsid w:val="3C53057F"/>
    <w:rsid w:val="4162563F"/>
    <w:rsid w:val="48E03AB0"/>
    <w:rsid w:val="56C169E5"/>
    <w:rsid w:val="6D5D461B"/>
    <w:rsid w:val="76885999"/>
    <w:rsid w:val="7A0C2F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eepNext w:val="0"/>
      <w:keepLines w:val="0"/>
      <w:widowControl w:val="0"/>
      <w:shd w:val="clear" w:color="auto" w:fill="auto"/>
      <w:bidi w:val="0"/>
      <w:spacing w:before="0" w:after="0" w:line="240" w:lineRule="auto"/>
      <w:ind w:left="0" w:right="0" w:firstLine="0"/>
      <w:jc w:val="left"/>
    </w:pPr>
    <w:rPr>
      <w:rFonts w:ascii="Times New Roman" w:hAnsi="Times New Roman" w:eastAsia="Times New Roman" w:cs="Times New Roman"/>
      <w:color w:val="000000"/>
      <w:spacing w:val="0"/>
      <w:w w:val="100"/>
      <w:position w:val="0"/>
      <w:sz w:val="24"/>
      <w:szCs w:val="24"/>
      <w:shd w:val="clear" w:color="auto" w:fill="auto"/>
      <w:lang w:val="en-US" w:eastAsia="en-US" w:bidi="en-US"/>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 w:type="paragraph" w:styleId="3">
    <w:name w:val="header"/>
    <w:basedOn w:val="1"/>
    <w:qFormat/>
    <w:uiPriority w:val="0"/>
    <w:pPr>
      <w:tabs>
        <w:tab w:val="center" w:pos="4153"/>
        <w:tab w:val="right" w:pos="8306"/>
      </w:tabs>
      <w:snapToGrid w:val="0"/>
      <w:jc w:val="center"/>
    </w:pPr>
    <w:rPr>
      <w:sz w:val="18"/>
      <w:szCs w:val="18"/>
    </w:rPr>
  </w:style>
  <w:style w:type="paragraph" w:customStyle="1" w:styleId="6">
    <w:name w:val="Heading #1|1"/>
    <w:basedOn w:val="1"/>
    <w:qFormat/>
    <w:uiPriority w:val="0"/>
    <w:pPr>
      <w:widowControl w:val="0"/>
      <w:shd w:val="clear" w:color="auto" w:fill="auto"/>
      <w:spacing w:after="240" w:line="605" w:lineRule="exact"/>
      <w:jc w:val="center"/>
      <w:outlineLvl w:val="0"/>
    </w:pPr>
    <w:rPr>
      <w:rFonts w:ascii="宋体" w:hAnsi="宋体" w:eastAsia="宋体" w:cs="宋体"/>
      <w:color w:val="333A38"/>
      <w:sz w:val="42"/>
      <w:szCs w:val="42"/>
      <w:u w:val="none"/>
      <w:shd w:val="clear" w:color="auto" w:fill="auto"/>
      <w:lang w:val="zh-TW" w:eastAsia="zh-TW" w:bidi="zh-TW"/>
    </w:rPr>
  </w:style>
  <w:style w:type="paragraph" w:customStyle="1" w:styleId="7">
    <w:name w:val="Table caption|1"/>
    <w:basedOn w:val="1"/>
    <w:qFormat/>
    <w:uiPriority w:val="0"/>
    <w:pPr>
      <w:widowControl w:val="0"/>
      <w:shd w:val="clear" w:color="auto" w:fill="auto"/>
      <w:spacing w:line="576" w:lineRule="exact"/>
    </w:pPr>
    <w:rPr>
      <w:rFonts w:ascii="宋体" w:hAnsi="宋体" w:eastAsia="宋体" w:cs="宋体"/>
      <w:color w:val="1B1B1C"/>
      <w:sz w:val="20"/>
      <w:szCs w:val="20"/>
      <w:u w:val="none"/>
      <w:shd w:val="clear" w:color="auto" w:fill="auto"/>
      <w:lang w:val="zh-TW" w:eastAsia="zh-TW" w:bidi="zh-TW"/>
    </w:rPr>
  </w:style>
  <w:style w:type="paragraph" w:customStyle="1" w:styleId="8">
    <w:name w:val="Other|1"/>
    <w:basedOn w:val="1"/>
    <w:qFormat/>
    <w:uiPriority w:val="0"/>
    <w:pPr>
      <w:widowControl w:val="0"/>
      <w:shd w:val="clear" w:color="auto" w:fill="auto"/>
      <w:spacing w:after="560" w:line="434" w:lineRule="auto"/>
      <w:ind w:firstLine="400"/>
    </w:pPr>
    <w:rPr>
      <w:rFonts w:ascii="宋体" w:hAnsi="宋体" w:eastAsia="宋体" w:cs="宋体"/>
      <w:color w:val="1B1B1C"/>
      <w:sz w:val="28"/>
      <w:szCs w:val="28"/>
      <w:u w:val="none"/>
      <w:shd w:val="clear" w:color="auto" w:fill="auto"/>
      <w:lang w:val="zh-TW" w:eastAsia="zh-TW" w:bidi="zh-TW"/>
    </w:rPr>
  </w:style>
  <w:style w:type="paragraph" w:customStyle="1" w:styleId="9">
    <w:name w:val="Body text|1"/>
    <w:basedOn w:val="1"/>
    <w:qFormat/>
    <w:uiPriority w:val="0"/>
    <w:pPr>
      <w:widowControl w:val="0"/>
      <w:shd w:val="clear" w:color="auto" w:fill="auto"/>
      <w:spacing w:after="560" w:line="434" w:lineRule="auto"/>
      <w:ind w:firstLine="400"/>
    </w:pPr>
    <w:rPr>
      <w:rFonts w:ascii="宋体" w:hAnsi="宋体" w:eastAsia="宋体" w:cs="宋体"/>
      <w:color w:val="1B1B1C"/>
      <w:sz w:val="28"/>
      <w:szCs w:val="28"/>
      <w:u w:val="none"/>
      <w:shd w:val="clear" w:color="auto" w:fill="auto"/>
      <w:lang w:val="zh-TW" w:eastAsia="zh-TW" w:bidi="zh-TW"/>
    </w:rPr>
  </w:style>
  <w:style w:type="paragraph" w:customStyle="1" w:styleId="10">
    <w:name w:val="Header or footer|2"/>
    <w:basedOn w:val="1"/>
    <w:qFormat/>
    <w:uiPriority w:val="0"/>
    <w:pPr>
      <w:widowControl w:val="0"/>
      <w:shd w:val="clear" w:color="auto" w:fill="auto"/>
    </w:pPr>
    <w:rPr>
      <w:sz w:val="20"/>
      <w:szCs w:val="20"/>
      <w:u w:val="none"/>
      <w:shd w:val="clear" w:color="auto" w:fill="auto"/>
      <w:lang w:val="zh-TW" w:eastAsia="zh-TW" w:bidi="zh-TW"/>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858</Words>
  <Characters>911</Characters>
  <Lines>0</Lines>
  <Paragraphs>0</Paragraphs>
  <TotalTime>7</TotalTime>
  <ScaleCrop>false</ScaleCrop>
  <LinksUpToDate>false</LinksUpToDate>
  <CharactersWithSpaces>956</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2023-07-20T04:50:00Z</dcterms:created>
  <dc:creator>鸡窝先生</dc:creator>
  <cp:lastModifiedBy>X</cp:lastModifiedBy>
  <dcterms:modified xsi:type="dcterms:W3CDTF">2023-07-31T09:45:42Z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C1A0610B751B4E37B61847C496CE97D7_13</vt:lpwstr>
  </property>
</Properties>
</file>